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9779B8" w:rsidRDefault="00CD0995" w:rsidP="00142112">
      <w:pPr>
        <w:jc w:val="center"/>
      </w:pPr>
      <w:r>
        <w:t>Free Will and Determinism</w:t>
      </w:r>
    </w:p>
    <w:p w:rsidR="00D02187" w:rsidRDefault="00CD0995" w:rsidP="00142112">
      <w:pPr>
        <w:jc w:val="center"/>
      </w:pPr>
      <w:r>
        <w:t>Name</w:t>
      </w:r>
    </w:p>
    <w:p w:rsidR="00D02187" w:rsidRDefault="00CD0995" w:rsidP="00142112">
      <w:pPr>
        <w:jc w:val="center"/>
      </w:pPr>
      <w:r>
        <w:t>Institution of Affiliation</w:t>
      </w: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142112" w:rsidRDefault="00142112" w:rsidP="00142112">
      <w:pPr>
        <w:jc w:val="center"/>
      </w:pPr>
    </w:p>
    <w:p w:rsidR="005D1926" w:rsidRDefault="00CD0995" w:rsidP="00142112">
      <w:pPr>
        <w:jc w:val="center"/>
      </w:pPr>
      <w:r>
        <w:lastRenderedPageBreak/>
        <w:t>Free Will and Determinism</w:t>
      </w:r>
    </w:p>
    <w:p w:rsidR="007A404D" w:rsidRDefault="00CD0995" w:rsidP="00142112">
      <w:pPr>
        <w:ind w:firstLine="720"/>
      </w:pPr>
      <w:r>
        <w:t>Determinism means that a person’s actions are influenced by certain factors. These factors can either be internal or external. The internal factors are the beliefs and feelings that a person has towards a certain issue and therefore their action is dependent on those beliefs and feelings</w:t>
      </w:r>
      <w:r w:rsidR="00C23026">
        <w:t xml:space="preserve"> (</w:t>
      </w:r>
      <w:r w:rsidR="00C23026">
        <w:rPr>
          <w:rFonts w:eastAsia="Times New Roman"/>
        </w:rPr>
        <w:t xml:space="preserve">Foot, </w:t>
      </w:r>
      <w:r w:rsidR="00C23026" w:rsidRPr="00C23026">
        <w:rPr>
          <w:rFonts w:eastAsia="Times New Roman"/>
        </w:rPr>
        <w:t>1957)</w:t>
      </w:r>
      <w:r>
        <w:t>. The external factors are the environmental surroundings that influence a person's action towards a certain issue or challenge. Free will refers to a phenomenon where a person's actions are not determined by external factors but themselves. They take a certain behavior not because other people have asked them to do so but out of their own belief that by taking that action, they will be doing the right thing</w:t>
      </w:r>
      <w:r w:rsidR="00C23026">
        <w:t xml:space="preserve"> (</w:t>
      </w:r>
      <w:r w:rsidR="00C23026">
        <w:rPr>
          <w:rFonts w:eastAsia="Times New Roman"/>
        </w:rPr>
        <w:t>SIX, 2016)</w:t>
      </w:r>
      <w:r>
        <w:t>. Free will and determinism are two terms that normally dictate and influence behavior of a person in the various ways. They are therefore related and compatible. Some philosophers however still argue that they are not compatible and that they should not be related to one another and hence should be studied as two entities. This essay provides an analysis of the various angles that explains determinism and free will in the human behavior. The essay also provides information on the various views of philosophers and psychologists on determinism and free will in regards to human behavior and actions.</w:t>
      </w:r>
    </w:p>
    <w:p w:rsidR="007A404D" w:rsidRDefault="00CD0995" w:rsidP="00142112">
      <w:pPr>
        <w:ind w:firstLine="720"/>
      </w:pPr>
      <w:r>
        <w:t xml:space="preserve">Free will is what a person does without coercion and any external factors. They choose what to do if presented with a certain challenge that is specific </w:t>
      </w:r>
      <w:r w:rsidR="00BD50B4">
        <w:t>to them. They do not have to copy what other people are doing so that they can follow suit</w:t>
      </w:r>
      <w:r>
        <w:t xml:space="preserve"> (</w:t>
      </w:r>
      <w:r>
        <w:rPr>
          <w:rFonts w:eastAsia="Times New Roman"/>
        </w:rPr>
        <w:t xml:space="preserve">Dennett, </w:t>
      </w:r>
      <w:r w:rsidRPr="00C23026">
        <w:rPr>
          <w:rFonts w:eastAsia="Times New Roman"/>
        </w:rPr>
        <w:t>2015)</w:t>
      </w:r>
      <w:r w:rsidR="00BD50B4">
        <w:t xml:space="preserve">. This is what is called freedom and autonomy. </w:t>
      </w:r>
      <w:r>
        <w:t xml:space="preserve"> </w:t>
      </w:r>
      <w:r w:rsidR="00552007">
        <w:t xml:space="preserve">For example, during a dinner where all kinds of foods are served, one has the opportunity to take what they want for that particular occasion. One has to take a plate and actually serve themselves what they want and feel like eating. They do not have to look at any other people for guidance along as they are free to take what they want. This is now what is </w:t>
      </w:r>
      <w:r w:rsidR="00552007">
        <w:lastRenderedPageBreak/>
        <w:t>called free will</w:t>
      </w:r>
      <w:r w:rsidR="00246FF8">
        <w:t xml:space="preserve"> (Steven, </w:t>
      </w:r>
      <w:r w:rsidR="00246FF8">
        <w:t>2009)</w:t>
      </w:r>
      <w:r w:rsidR="00552007">
        <w:t>. A person is not under any duress to pick a certain food for their consumption. However, in the same event, if a person takes food that has been designated to them, then that is not free will but determinism. It means that the person takes a certain specific meals because they have been instructed to do so by another person or their circumstances limits them to do exactly that</w:t>
      </w:r>
      <w:r>
        <w:t xml:space="preserve"> (</w:t>
      </w:r>
      <w:r>
        <w:rPr>
          <w:rFonts w:eastAsia="Times New Roman"/>
        </w:rPr>
        <w:t xml:space="preserve">Chan, Deutsch &amp; Nichols, </w:t>
      </w:r>
      <w:r w:rsidRPr="00C23026">
        <w:rPr>
          <w:rFonts w:eastAsia="Times New Roman"/>
        </w:rPr>
        <w:t>2016)</w:t>
      </w:r>
      <w:r w:rsidR="00552007">
        <w:t>. For instance, in the prison despite having all kinds of food, the inmates normally have to take what has been provided for that particular day. Whether they like it or not they have no other option but to take that particular meal provided. External factors have played part in making their decision. These external factors is the fact that they are in a prison where their freedoms have been limited by the virtue of being there and they have to follow the rules that govern that particular facility including the food menu</w:t>
      </w:r>
      <w:r w:rsidR="00246FF8">
        <w:t xml:space="preserve"> (Steven, </w:t>
      </w:r>
      <w:r w:rsidR="00246FF8">
        <w:t>2009)</w:t>
      </w:r>
      <w:r w:rsidR="00552007">
        <w:t xml:space="preserve">. In the same logic, a person may have the free will to take whatever meals they want but their internal factors influences them not to have such freedoms. A good example is a person who has a condition like diabetes which forces them to take certain meals and live in a certain kind of lifestyle. They cannot take meals despite having all of them presented to them in a dinner even without any rules from external factors. Therefore free will and determinism are compatible and influences one another in shaping human behavior. </w:t>
      </w:r>
    </w:p>
    <w:p w:rsidR="00D02187" w:rsidRDefault="00CD0995" w:rsidP="00142112">
      <w:pPr>
        <w:ind w:firstLine="720"/>
      </w:pPr>
      <w:r>
        <w:t>When</w:t>
      </w:r>
      <w:r w:rsidR="001B5C46">
        <w:t xml:space="preserve"> a person is with the authorities like in a police department where an accused person is recording a statement or even giving their confession. It will make a lot of difference when a suspect gives their confession out of their free will and when they do so out of threats and coercion. A suspect may feel that it is better to just accept their mistakes and confess that they actually committed a particular crime. </w:t>
      </w:r>
      <w:r w:rsidR="00D049C0">
        <w:t>If they do so out of their belief and feelings, this will be out of free will. There is no coercion apart from the suspect feelings that have driven them to make the confession</w:t>
      </w:r>
      <w:r>
        <w:t xml:space="preserve"> (</w:t>
      </w:r>
      <w:proofErr w:type="spellStart"/>
      <w:r>
        <w:rPr>
          <w:rFonts w:eastAsia="Times New Roman"/>
        </w:rPr>
        <w:t>Cova</w:t>
      </w:r>
      <w:proofErr w:type="spellEnd"/>
      <w:r>
        <w:rPr>
          <w:rFonts w:eastAsia="Times New Roman"/>
        </w:rPr>
        <w:t xml:space="preserve"> </w:t>
      </w:r>
      <w:r w:rsidRPr="00C23026">
        <w:rPr>
          <w:rFonts w:eastAsia="Times New Roman"/>
        </w:rPr>
        <w:t xml:space="preserve">&amp; </w:t>
      </w:r>
      <w:r>
        <w:rPr>
          <w:rFonts w:eastAsia="Times New Roman"/>
        </w:rPr>
        <w:t xml:space="preserve">Kitano, </w:t>
      </w:r>
      <w:r w:rsidRPr="00C23026">
        <w:rPr>
          <w:rFonts w:eastAsia="Times New Roman"/>
        </w:rPr>
        <w:t>2014)</w:t>
      </w:r>
      <w:r w:rsidR="00D049C0">
        <w:t xml:space="preserve">. In fact, it could be that they feel guilty of the </w:t>
      </w:r>
      <w:r w:rsidR="00D049C0">
        <w:lastRenderedPageBreak/>
        <w:t>situation and therefore they decide to make the confession so that they are at peace with their conscience. Such a confession is likely to be genuine and true and may not even require a lot of investigation in determining if it is true</w:t>
      </w:r>
      <w:r w:rsidR="00246FF8">
        <w:t xml:space="preserve"> </w:t>
      </w:r>
      <w:r w:rsidR="00246FF8">
        <w:t>(Steven, 2009)</w:t>
      </w:r>
      <w:bookmarkStart w:id="0" w:name="_GoBack"/>
      <w:bookmarkEnd w:id="0"/>
      <w:r w:rsidR="00D049C0">
        <w:t xml:space="preserve">. On the other hand, a suspect may give a confession due to coercion and threats. They may receive threats from the aggrieved parties or even from the investigative team to offer the information to them or face dire consequences. Take a case of terrorism where a terrorist </w:t>
      </w:r>
      <w:r w:rsidR="004F52CC">
        <w:t xml:space="preserve">suspect </w:t>
      </w:r>
      <w:r w:rsidR="00D049C0">
        <w:t xml:space="preserve">is arrested having a bomb while trying to transport it to a certain unknown location for detonation. The authorities may not be so much concentrate on the </w:t>
      </w:r>
      <w:r w:rsidR="004F52CC">
        <w:t xml:space="preserve">suspect but they will be wanting information concerning the destination and the group being represented by the suspect. </w:t>
      </w:r>
      <w:r w:rsidR="006348F2">
        <w:t>It</w:t>
      </w:r>
      <w:r w:rsidR="004F52CC">
        <w:t xml:space="preserve"> is known that cases of terrorism have the security of whatever state or country at heart and therefore thorough and conclusive investigation have to be done. There are cases where such suspects have been coerced to give information even through torture. In this case, the suspect may have to give information about the case due to external factors which is torture. The authorities have to inflict pain on the suspect so that they can give the information. </w:t>
      </w:r>
      <w:r w:rsidR="006348F2">
        <w:t>Therefore</w:t>
      </w:r>
      <w:r w:rsidR="004F52CC">
        <w:t xml:space="preserve"> it is through determinism </w:t>
      </w:r>
      <w:r w:rsidR="006348F2">
        <w:t>that the suspect will give such information about the case. It is therefore not out of free will but maybe out of fear of being injured during the investigation. This may prove tough and even jeopardize the court proceedings if the jury learns that the confession was gotten through coercion and intimidation. The suspect may inform the jury how the confession was obtained and the jury after learning that it was through coercion may order for fresh investigation that is out of free will.</w:t>
      </w:r>
    </w:p>
    <w:p w:rsidR="006348F2" w:rsidRDefault="00CD0995" w:rsidP="00142112">
      <w:pPr>
        <w:ind w:firstLine="720"/>
      </w:pPr>
      <w:r>
        <w:t xml:space="preserve">In a case where a person is threatened in order to do something so that they avoid a certain act, then that could be a debate too. An example is a case where a person is walking and is attached by a thief who has a gun. The thief may decide that they just want to steal for example the wallet and leave the person unharmed. In this case, they will pose a threat to person </w:t>
      </w:r>
      <w:r>
        <w:lastRenderedPageBreak/>
        <w:t>by even pointing a gun at their head to surrender their wallet or be shot in cold blood. The thief has given the person options to choose from. He may decide to save their lives by surrendering the wallet to the thief so that he is left alone</w:t>
      </w:r>
      <w:r w:rsidR="00C23026">
        <w:t xml:space="preserve"> (</w:t>
      </w:r>
      <w:r w:rsidR="00C23026">
        <w:rPr>
          <w:rFonts w:eastAsia="Times New Roman"/>
        </w:rPr>
        <w:t xml:space="preserve">Dennett, </w:t>
      </w:r>
      <w:r w:rsidR="00C23026" w:rsidRPr="00C23026">
        <w:rPr>
          <w:rFonts w:eastAsia="Times New Roman"/>
        </w:rPr>
        <w:t>2015)</w:t>
      </w:r>
      <w:r>
        <w:t xml:space="preserve">. In this case, the person is said to have used their internal factor hence constituting free will. The person decides to give the wallet </w:t>
      </w:r>
      <w:r w:rsidR="00945F3E">
        <w:t xml:space="preserve">to the thief is an act of having a determined the options available and choosing the most appropriate out of their free will. </w:t>
      </w:r>
    </w:p>
    <w:p w:rsidR="00D35553" w:rsidRDefault="00CD0995" w:rsidP="00142112">
      <w:pPr>
        <w:ind w:firstLine="720"/>
      </w:pPr>
      <w:r>
        <w:t>In conclusion, free will and determinism are compatible since they are used together and influences behavior of people. It is through free will that a person decides without external factors to carry out an activity. Free will makes a person have a self-determination mind. Determinism on the other side involves the influence of the person's activities by the environment which makes up the external factors.</w:t>
      </w:r>
    </w:p>
    <w:p w:rsidR="00142112" w:rsidRDefault="00142112"/>
    <w:p w:rsidR="00142112" w:rsidRDefault="00142112"/>
    <w:p w:rsidR="00142112" w:rsidRDefault="00142112"/>
    <w:p w:rsidR="00142112" w:rsidRDefault="00142112"/>
    <w:p w:rsidR="00142112" w:rsidRDefault="00142112"/>
    <w:p w:rsidR="00142112" w:rsidRDefault="00142112"/>
    <w:p w:rsidR="00142112" w:rsidRDefault="00142112"/>
    <w:p w:rsidR="00142112" w:rsidRDefault="00142112"/>
    <w:p w:rsidR="00142112" w:rsidRDefault="00142112"/>
    <w:p w:rsidR="00142112" w:rsidRDefault="00142112"/>
    <w:p w:rsidR="00142112" w:rsidRDefault="00142112"/>
    <w:p w:rsidR="00142112" w:rsidRDefault="00142112"/>
    <w:p w:rsidR="00C23026" w:rsidRDefault="00CD0995" w:rsidP="00142112">
      <w:pPr>
        <w:jc w:val="center"/>
      </w:pPr>
      <w:r>
        <w:lastRenderedPageBreak/>
        <w:t>References</w:t>
      </w:r>
    </w:p>
    <w:p w:rsidR="00142112" w:rsidRPr="00C23026" w:rsidRDefault="00142112" w:rsidP="00142112">
      <w:pPr>
        <w:ind w:left="720" w:hanging="720"/>
        <w:rPr>
          <w:rFonts w:eastAsia="Times New Roman"/>
        </w:rPr>
      </w:pPr>
      <w:r w:rsidRPr="00C23026">
        <w:rPr>
          <w:rFonts w:eastAsia="Times New Roman"/>
        </w:rPr>
        <w:t xml:space="preserve">Chan, H. Y., Deutsch, M., &amp; Nichols, S. (2016). Free Will and Experimental Philosophy. </w:t>
      </w:r>
      <w:r w:rsidRPr="00C23026">
        <w:rPr>
          <w:rFonts w:eastAsia="Times New Roman"/>
          <w:i/>
          <w:iCs/>
        </w:rPr>
        <w:t>A Companion to Experimental Philosophy. Oxford: Blackwell</w:t>
      </w:r>
      <w:r w:rsidRPr="00C23026">
        <w:rPr>
          <w:rFonts w:eastAsia="Times New Roman"/>
        </w:rPr>
        <w:t>.</w:t>
      </w:r>
    </w:p>
    <w:p w:rsidR="00142112" w:rsidRPr="00C23026" w:rsidRDefault="00142112" w:rsidP="00142112">
      <w:pPr>
        <w:ind w:left="720" w:hanging="720"/>
        <w:rPr>
          <w:rFonts w:eastAsia="Times New Roman"/>
        </w:rPr>
      </w:pPr>
      <w:proofErr w:type="spellStart"/>
      <w:r w:rsidRPr="00C23026">
        <w:rPr>
          <w:rFonts w:eastAsia="Times New Roman"/>
        </w:rPr>
        <w:t>Cova</w:t>
      </w:r>
      <w:proofErr w:type="spellEnd"/>
      <w:r w:rsidRPr="00C23026">
        <w:rPr>
          <w:rFonts w:eastAsia="Times New Roman"/>
        </w:rPr>
        <w:t xml:space="preserve">, F., &amp; Kitano, Y. (2014). Experimental philosophy and the compatibility of free will and determinism: A survey. </w:t>
      </w:r>
      <w:r w:rsidRPr="00C23026">
        <w:rPr>
          <w:rFonts w:eastAsia="Times New Roman"/>
          <w:i/>
          <w:iCs/>
        </w:rPr>
        <w:t>Annals of the Japan Association for Philosophy of Science</w:t>
      </w:r>
      <w:r w:rsidRPr="00C23026">
        <w:rPr>
          <w:rFonts w:eastAsia="Times New Roman"/>
        </w:rPr>
        <w:t xml:space="preserve">, </w:t>
      </w:r>
      <w:r w:rsidRPr="00C23026">
        <w:rPr>
          <w:rFonts w:eastAsia="Times New Roman"/>
          <w:i/>
          <w:iCs/>
        </w:rPr>
        <w:t>22</w:t>
      </w:r>
      <w:r w:rsidRPr="00C23026">
        <w:rPr>
          <w:rFonts w:eastAsia="Times New Roman"/>
        </w:rPr>
        <w:t>, 17-37.</w:t>
      </w:r>
    </w:p>
    <w:p w:rsidR="00142112" w:rsidRPr="00C23026" w:rsidRDefault="00142112" w:rsidP="00142112">
      <w:pPr>
        <w:ind w:left="720" w:hanging="720"/>
        <w:rPr>
          <w:rFonts w:eastAsia="Times New Roman"/>
        </w:rPr>
      </w:pPr>
      <w:r w:rsidRPr="00C23026">
        <w:rPr>
          <w:rFonts w:eastAsia="Times New Roman"/>
        </w:rPr>
        <w:t xml:space="preserve">Dennett, D. C. (2015). </w:t>
      </w:r>
      <w:r w:rsidRPr="00C23026">
        <w:rPr>
          <w:rFonts w:eastAsia="Times New Roman"/>
          <w:i/>
          <w:iCs/>
        </w:rPr>
        <w:t>Elbow room: The varieties of free will worth wanting</w:t>
      </w:r>
      <w:r w:rsidRPr="00C23026">
        <w:rPr>
          <w:rFonts w:eastAsia="Times New Roman"/>
        </w:rPr>
        <w:t>. MIT Press.</w:t>
      </w:r>
    </w:p>
    <w:p w:rsidR="00142112" w:rsidRPr="00C23026" w:rsidRDefault="00142112" w:rsidP="00142112">
      <w:pPr>
        <w:ind w:left="720" w:hanging="720"/>
        <w:rPr>
          <w:rFonts w:eastAsia="Times New Roman"/>
        </w:rPr>
      </w:pPr>
      <w:r w:rsidRPr="00C23026">
        <w:rPr>
          <w:rFonts w:eastAsia="Times New Roman"/>
        </w:rPr>
        <w:t xml:space="preserve">Foot, P. (1957). Free Will Involving Determinism. </w:t>
      </w:r>
      <w:r w:rsidRPr="00C23026">
        <w:rPr>
          <w:rFonts w:eastAsia="Times New Roman"/>
          <w:i/>
          <w:iCs/>
        </w:rPr>
        <w:t>The Philosophical Review</w:t>
      </w:r>
      <w:r w:rsidRPr="00C23026">
        <w:rPr>
          <w:rFonts w:eastAsia="Times New Roman"/>
        </w:rPr>
        <w:t>, 439-450.</w:t>
      </w:r>
    </w:p>
    <w:p w:rsidR="00142112" w:rsidRDefault="00142112" w:rsidP="00142112">
      <w:pPr>
        <w:ind w:left="720" w:hanging="720"/>
        <w:rPr>
          <w:rFonts w:eastAsia="Times New Roman"/>
        </w:rPr>
      </w:pPr>
      <w:r w:rsidRPr="00C23026">
        <w:rPr>
          <w:rFonts w:eastAsia="Times New Roman"/>
        </w:rPr>
        <w:t xml:space="preserve">SIX, P. (2016). Free Will and Determinism. </w:t>
      </w:r>
      <w:r w:rsidRPr="00C23026">
        <w:rPr>
          <w:rFonts w:eastAsia="Times New Roman"/>
          <w:i/>
          <w:iCs/>
        </w:rPr>
        <w:t xml:space="preserve">Journey </w:t>
      </w:r>
      <w:proofErr w:type="gramStart"/>
      <w:r w:rsidRPr="00C23026">
        <w:rPr>
          <w:rFonts w:eastAsia="Times New Roman"/>
          <w:i/>
          <w:iCs/>
        </w:rPr>
        <w:t>Into</w:t>
      </w:r>
      <w:proofErr w:type="gramEnd"/>
      <w:r w:rsidRPr="00C23026">
        <w:rPr>
          <w:rFonts w:eastAsia="Times New Roman"/>
          <w:i/>
          <w:iCs/>
        </w:rPr>
        <w:t xml:space="preserve"> Philosophy: An Introduction with Classic and Contemporary Readings</w:t>
      </w:r>
      <w:r w:rsidRPr="00C23026">
        <w:rPr>
          <w:rFonts w:eastAsia="Times New Roman"/>
        </w:rPr>
        <w:t>, 349.</w:t>
      </w:r>
    </w:p>
    <w:p w:rsidR="00246FF8" w:rsidRPr="00C23026" w:rsidRDefault="00246FF8" w:rsidP="00142112">
      <w:pPr>
        <w:ind w:left="720" w:hanging="720"/>
        <w:rPr>
          <w:rFonts w:eastAsia="Times New Roman"/>
        </w:rPr>
      </w:pPr>
      <w:r>
        <w:t xml:space="preserve">Steven M. Cahn. (2009). </w:t>
      </w:r>
      <w:r>
        <w:t>Exploring Philos</w:t>
      </w:r>
      <w:r>
        <w:t xml:space="preserve">ophy: </w:t>
      </w:r>
      <w:r w:rsidRPr="00246FF8">
        <w:rPr>
          <w:i/>
        </w:rPr>
        <w:t>An Introductory Anthology</w:t>
      </w:r>
      <w:r>
        <w:t>. Fifth</w:t>
      </w:r>
      <w:r>
        <w:t xml:space="preserve"> edition</w:t>
      </w:r>
    </w:p>
    <w:p w:rsidR="00C23026" w:rsidRDefault="00C23026"/>
    <w:p w:rsidR="00945F3E" w:rsidRDefault="00CD0995">
      <w:r>
        <w:t xml:space="preserve"> </w:t>
      </w:r>
    </w:p>
    <w:p w:rsidR="006348F2" w:rsidRDefault="006348F2"/>
    <w:sectPr w:rsidR="006348F2" w:rsidSect="001421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CE8" w:rsidRDefault="00481CE8" w:rsidP="00142112">
      <w:pPr>
        <w:spacing w:line="240" w:lineRule="auto"/>
      </w:pPr>
      <w:r>
        <w:separator/>
      </w:r>
    </w:p>
  </w:endnote>
  <w:endnote w:type="continuationSeparator" w:id="0">
    <w:p w:rsidR="00481CE8" w:rsidRDefault="00481CE8" w:rsidP="001421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CE8" w:rsidRDefault="00481CE8" w:rsidP="00142112">
      <w:pPr>
        <w:spacing w:line="240" w:lineRule="auto"/>
      </w:pPr>
      <w:r>
        <w:separator/>
      </w:r>
    </w:p>
  </w:footnote>
  <w:footnote w:type="continuationSeparator" w:id="0">
    <w:p w:rsidR="00481CE8" w:rsidRDefault="00481CE8" w:rsidP="0014211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112" w:rsidRDefault="00142112">
    <w:pPr>
      <w:pStyle w:val="Header"/>
      <w:jc w:val="right"/>
    </w:pPr>
    <w:r>
      <w:t xml:space="preserve">FREE WILL AND DETERMINISM                                                                                              </w:t>
    </w:r>
    <w:sdt>
      <w:sdtPr>
        <w:id w:val="-43760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6FF8">
          <w:rPr>
            <w:noProof/>
          </w:rPr>
          <w:t>6</w:t>
        </w:r>
        <w:r>
          <w:rPr>
            <w:noProof/>
          </w:rPr>
          <w:fldChar w:fldCharType="end"/>
        </w:r>
      </w:sdtContent>
    </w:sdt>
  </w:p>
  <w:p w:rsidR="00142112" w:rsidRDefault="001421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112" w:rsidRDefault="00142112" w:rsidP="00142112">
    <w:r>
      <w:t xml:space="preserve">Running head: FREE WILL AND DETERMINISM                                                                      </w:t>
    </w:r>
    <w:sdt>
      <w:sdtPr>
        <w:id w:val="8839875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46FF8">
          <w:rPr>
            <w:noProof/>
          </w:rPr>
          <w:t>1</w:t>
        </w:r>
        <w:r>
          <w:rPr>
            <w:noProof/>
          </w:rPr>
          <w:fldChar w:fldCharType="end"/>
        </w:r>
      </w:sdtContent>
    </w:sdt>
  </w:p>
  <w:p w:rsidR="00142112" w:rsidRDefault="00142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87"/>
    <w:rsid w:val="00142112"/>
    <w:rsid w:val="001B5C46"/>
    <w:rsid w:val="00246FF8"/>
    <w:rsid w:val="00481CE8"/>
    <w:rsid w:val="004F52CC"/>
    <w:rsid w:val="00552007"/>
    <w:rsid w:val="005D1926"/>
    <w:rsid w:val="006348F2"/>
    <w:rsid w:val="007A404D"/>
    <w:rsid w:val="00945F3E"/>
    <w:rsid w:val="00952D3F"/>
    <w:rsid w:val="009779B8"/>
    <w:rsid w:val="00BD50B4"/>
    <w:rsid w:val="00C23026"/>
    <w:rsid w:val="00CD0995"/>
    <w:rsid w:val="00D02187"/>
    <w:rsid w:val="00D049C0"/>
    <w:rsid w:val="00D3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064805-3262-4EFA-9050-57244740C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112"/>
    <w:pPr>
      <w:tabs>
        <w:tab w:val="center" w:pos="4680"/>
        <w:tab w:val="right" w:pos="9360"/>
      </w:tabs>
      <w:spacing w:line="240" w:lineRule="auto"/>
    </w:pPr>
  </w:style>
  <w:style w:type="character" w:customStyle="1" w:styleId="HeaderChar">
    <w:name w:val="Header Char"/>
    <w:basedOn w:val="DefaultParagraphFont"/>
    <w:link w:val="Header"/>
    <w:uiPriority w:val="99"/>
    <w:rsid w:val="00142112"/>
  </w:style>
  <w:style w:type="paragraph" w:styleId="Footer">
    <w:name w:val="footer"/>
    <w:basedOn w:val="Normal"/>
    <w:link w:val="FooterChar"/>
    <w:uiPriority w:val="99"/>
    <w:unhideWhenUsed/>
    <w:rsid w:val="00142112"/>
    <w:pPr>
      <w:tabs>
        <w:tab w:val="center" w:pos="4680"/>
        <w:tab w:val="right" w:pos="9360"/>
      </w:tabs>
      <w:spacing w:line="240" w:lineRule="auto"/>
    </w:pPr>
  </w:style>
  <w:style w:type="character" w:customStyle="1" w:styleId="FooterChar">
    <w:name w:val="Footer Char"/>
    <w:basedOn w:val="DefaultParagraphFont"/>
    <w:link w:val="Footer"/>
    <w:uiPriority w:val="99"/>
    <w:rsid w:val="00142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2018-06-30T19:52:00Z</dcterms:created>
  <dcterms:modified xsi:type="dcterms:W3CDTF">2018-06-30T19:52:00Z</dcterms:modified>
</cp:coreProperties>
</file>